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126"/>
        <w:gridCol w:w="142"/>
        <w:gridCol w:w="2835"/>
      </w:tblGrid>
      <w:tr w:rsidR="00C562C8" w14:paraId="1E11BCA1" w14:textId="77777777" w:rsidTr="00C562C8">
        <w:trPr>
          <w:gridAfter w:val="1"/>
          <w:wAfter w:w="2835" w:type="dxa"/>
          <w:cantSplit/>
          <w:trHeight w:val="569"/>
        </w:trPr>
        <w:tc>
          <w:tcPr>
            <w:tcW w:w="478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E11BC9F" w14:textId="77777777" w:rsidR="00C562C8" w:rsidRDefault="00C562C8">
            <w:pPr>
              <w:keepNext/>
              <w:shd w:val="clear" w:color="auto" w:fill="BFBFBF"/>
              <w:jc w:val="center"/>
              <w:outlineLvl w:val="0"/>
              <w:rPr>
                <w:b/>
              </w:rPr>
            </w:pPr>
            <w:r>
              <w:rPr>
                <w:noProof/>
              </w:rPr>
              <w:drawing>
                <wp:anchor distT="0" distB="0" distL="114300" distR="114300" simplePos="0" relativeHeight="251658240" behindDoc="1" locked="0" layoutInCell="0" allowOverlap="1" wp14:anchorId="1E11BD34" wp14:editId="1E11BD35">
                  <wp:simplePos x="0" y="0"/>
                  <wp:positionH relativeFrom="column">
                    <wp:posOffset>4766310</wp:posOffset>
                  </wp:positionH>
                  <wp:positionV relativeFrom="paragraph">
                    <wp:posOffset>-80010</wp:posOffset>
                  </wp:positionV>
                  <wp:extent cx="1463040" cy="121539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Pr>
                <w:b/>
              </w:rPr>
              <w:t>REPORT TO</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E11BCA0" w14:textId="77777777" w:rsidR="00C562C8" w:rsidRDefault="00C562C8">
            <w:pPr>
              <w:jc w:val="center"/>
              <w:rPr>
                <w:b/>
              </w:rPr>
            </w:pPr>
            <w:r>
              <w:rPr>
                <w:b/>
              </w:rPr>
              <w:t>ON</w:t>
            </w:r>
          </w:p>
        </w:tc>
      </w:tr>
      <w:tr w:rsidR="00C562C8" w14:paraId="1E11BCA4" w14:textId="77777777" w:rsidTr="00C562C8">
        <w:trPr>
          <w:gridAfter w:val="1"/>
          <w:wAfter w:w="2835" w:type="dxa"/>
          <w:cantSplit/>
          <w:trHeight w:val="654"/>
        </w:trPr>
        <w:tc>
          <w:tcPr>
            <w:tcW w:w="4786" w:type="dxa"/>
            <w:tcBorders>
              <w:top w:val="single" w:sz="4" w:space="0" w:color="auto"/>
              <w:left w:val="single" w:sz="4" w:space="0" w:color="auto"/>
              <w:bottom w:val="nil"/>
              <w:right w:val="single" w:sz="4" w:space="0" w:color="auto"/>
            </w:tcBorders>
            <w:vAlign w:val="center"/>
            <w:hideMark/>
          </w:tcPr>
          <w:p w14:paraId="1E11BCA2" w14:textId="77777777" w:rsidR="00C562C8" w:rsidRDefault="00C562C8">
            <w:pPr>
              <w:rPr>
                <w:b/>
                <w:szCs w:val="22"/>
              </w:rPr>
            </w:pPr>
            <w:r>
              <w:rPr>
                <w:b/>
                <w:szCs w:val="22"/>
              </w:rPr>
              <w:t xml:space="preserve">Licensing </w:t>
            </w:r>
            <w:r w:rsidR="005E0774">
              <w:rPr>
                <w:b/>
                <w:szCs w:val="22"/>
              </w:rPr>
              <w:t xml:space="preserve">Act </w:t>
            </w:r>
            <w:r>
              <w:rPr>
                <w:b/>
                <w:szCs w:val="22"/>
              </w:rPr>
              <w:t>Committee</w:t>
            </w:r>
          </w:p>
        </w:tc>
        <w:tc>
          <w:tcPr>
            <w:tcW w:w="2268" w:type="dxa"/>
            <w:gridSpan w:val="2"/>
            <w:tcBorders>
              <w:top w:val="single" w:sz="4" w:space="0" w:color="auto"/>
              <w:left w:val="single" w:sz="4" w:space="0" w:color="auto"/>
              <w:bottom w:val="nil"/>
              <w:right w:val="single" w:sz="4" w:space="0" w:color="auto"/>
            </w:tcBorders>
            <w:vAlign w:val="center"/>
            <w:hideMark/>
          </w:tcPr>
          <w:p w14:paraId="1E11BCA3" w14:textId="77777777" w:rsidR="00C562C8" w:rsidRDefault="00C562C8" w:rsidP="005E0774">
            <w:pPr>
              <w:jc w:val="center"/>
              <w:rPr>
                <w:b/>
              </w:rPr>
            </w:pPr>
            <w:r>
              <w:rPr>
                <w:b/>
              </w:rPr>
              <w:t>24 July 2018</w:t>
            </w:r>
          </w:p>
        </w:tc>
      </w:tr>
      <w:tr w:rsidR="00C562C8" w14:paraId="1E11BCA6" w14:textId="77777777" w:rsidTr="00C562C8">
        <w:trPr>
          <w:gridAfter w:val="1"/>
          <w:wAfter w:w="2835" w:type="dxa"/>
          <w:cantSplit/>
          <w:trHeight w:val="560"/>
        </w:trPr>
        <w:tc>
          <w:tcPr>
            <w:tcW w:w="7054" w:type="dxa"/>
            <w:gridSpan w:val="3"/>
            <w:tcBorders>
              <w:top w:val="single" w:sz="4" w:space="0" w:color="auto"/>
              <w:left w:val="nil"/>
              <w:bottom w:val="single" w:sz="4" w:space="0" w:color="auto"/>
              <w:right w:val="nil"/>
            </w:tcBorders>
          </w:tcPr>
          <w:p w14:paraId="1E11BCA5" w14:textId="77777777" w:rsidR="00C562C8" w:rsidRDefault="00C562C8">
            <w:pPr>
              <w:jc w:val="right"/>
              <w:rPr>
                <w:sz w:val="8"/>
              </w:rPr>
            </w:pPr>
          </w:p>
        </w:tc>
      </w:tr>
      <w:tr w:rsidR="00C562C8" w14:paraId="1E11BCA9" w14:textId="77777777" w:rsidTr="00C562C8">
        <w:trPr>
          <w:cantSplit/>
        </w:trPr>
        <w:tc>
          <w:tcPr>
            <w:tcW w:w="691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E11BCA7" w14:textId="77777777" w:rsidR="00C562C8" w:rsidRDefault="00C562C8">
            <w:pPr>
              <w:jc w:val="center"/>
              <w:rPr>
                <w:b/>
              </w:rPr>
            </w:pPr>
            <w:r>
              <w:rPr>
                <w:b/>
              </w:rPr>
              <w:t>TITLE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E11BCA8" w14:textId="77777777" w:rsidR="00C562C8" w:rsidRDefault="00C562C8">
            <w:pPr>
              <w:jc w:val="center"/>
              <w:rPr>
                <w:b/>
              </w:rPr>
            </w:pPr>
            <w:r>
              <w:rPr>
                <w:b/>
              </w:rPr>
              <w:t>REPORT OF</w:t>
            </w:r>
          </w:p>
        </w:tc>
      </w:tr>
      <w:tr w:rsidR="00C562C8" w14:paraId="1E11BCAE" w14:textId="77777777" w:rsidTr="00C562C8">
        <w:trPr>
          <w:cantSplit/>
          <w:trHeight w:val="667"/>
        </w:trPr>
        <w:tc>
          <w:tcPr>
            <w:tcW w:w="6912" w:type="dxa"/>
            <w:gridSpan w:val="2"/>
            <w:tcBorders>
              <w:top w:val="single" w:sz="4" w:space="0" w:color="auto"/>
              <w:left w:val="single" w:sz="4" w:space="0" w:color="auto"/>
              <w:bottom w:val="single" w:sz="4" w:space="0" w:color="auto"/>
              <w:right w:val="single" w:sz="4" w:space="0" w:color="auto"/>
            </w:tcBorders>
            <w:vAlign w:val="center"/>
          </w:tcPr>
          <w:p w14:paraId="22720DB5" w14:textId="77777777" w:rsidR="004A0892" w:rsidRDefault="004A0892">
            <w:pPr>
              <w:pStyle w:val="Style3"/>
              <w:jc w:val="left"/>
              <w:rPr>
                <w:b/>
                <w:bCs w:val="0"/>
                <w:sz w:val="28"/>
                <w:u w:val="none"/>
              </w:rPr>
            </w:pPr>
          </w:p>
          <w:p w14:paraId="1E11BCAA" w14:textId="1C9886A4" w:rsidR="00C562C8" w:rsidRPr="00DB4D7E" w:rsidRDefault="00C562C8">
            <w:pPr>
              <w:pStyle w:val="Style3"/>
              <w:jc w:val="left"/>
              <w:rPr>
                <w:sz w:val="24"/>
                <w:szCs w:val="24"/>
                <w:u w:val="none"/>
              </w:rPr>
            </w:pPr>
            <w:r w:rsidRPr="00DB4D7E">
              <w:rPr>
                <w:bCs w:val="0"/>
                <w:sz w:val="24"/>
                <w:szCs w:val="24"/>
                <w:u w:val="none"/>
              </w:rPr>
              <w:t>D</w:t>
            </w:r>
            <w:r w:rsidR="004A0892" w:rsidRPr="00DB4D7E">
              <w:rPr>
                <w:bCs w:val="0"/>
                <w:sz w:val="24"/>
                <w:szCs w:val="24"/>
                <w:u w:val="none"/>
              </w:rPr>
              <w:t>elegation of Powers as a Responsible Authority</w:t>
            </w:r>
          </w:p>
          <w:p w14:paraId="1E11BCAB" w14:textId="77777777" w:rsidR="00C562C8" w:rsidRDefault="00C562C8">
            <w:pPr>
              <w:rPr>
                <w:b/>
              </w:rPr>
            </w:pPr>
            <w:bookmarkStart w:id="0" w:name="_GoBack"/>
            <w:bookmarkEnd w:id="0"/>
          </w:p>
          <w:p w14:paraId="1E11BCAC" w14:textId="77777777" w:rsidR="00C562C8" w:rsidRDefault="00C562C8">
            <w:pPr>
              <w:rPr>
                <w:b/>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E11BCAD" w14:textId="77777777" w:rsidR="00C562C8" w:rsidRDefault="00C562C8">
            <w:r>
              <w:t>Head of Licensing</w:t>
            </w:r>
          </w:p>
        </w:tc>
      </w:tr>
    </w:tbl>
    <w:p w14:paraId="1E11BCAF" w14:textId="77777777" w:rsidR="00C562C8" w:rsidRDefault="00C562C8" w:rsidP="00C562C8"/>
    <w:p w14:paraId="1E11BCB0" w14:textId="77777777" w:rsidR="00C562C8" w:rsidRDefault="00C562C8" w:rsidP="00C562C8">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C562C8" w14:paraId="1E11BCB5" w14:textId="77777777" w:rsidTr="00C562C8">
        <w:tc>
          <w:tcPr>
            <w:tcW w:w="6652" w:type="dxa"/>
            <w:tcBorders>
              <w:top w:val="single" w:sz="4" w:space="0" w:color="auto"/>
              <w:left w:val="single" w:sz="4" w:space="0" w:color="auto"/>
              <w:bottom w:val="single" w:sz="4" w:space="0" w:color="auto"/>
              <w:right w:val="single" w:sz="4" w:space="0" w:color="auto"/>
            </w:tcBorders>
          </w:tcPr>
          <w:p w14:paraId="1E11BCB1" w14:textId="77777777" w:rsidR="00C562C8" w:rsidRDefault="00C562C8">
            <w:pPr>
              <w:rPr>
                <w:szCs w:val="22"/>
              </w:rPr>
            </w:pPr>
          </w:p>
          <w:p w14:paraId="1E11BCB2" w14:textId="77777777" w:rsidR="00C562C8" w:rsidRDefault="00C562C8">
            <w:pPr>
              <w:rPr>
                <w:szCs w:val="22"/>
              </w:rPr>
            </w:pPr>
            <w:r>
              <w:rPr>
                <w:szCs w:val="22"/>
              </w:rPr>
              <w:t>Is this report confidential?</w:t>
            </w:r>
          </w:p>
        </w:tc>
        <w:tc>
          <w:tcPr>
            <w:tcW w:w="3266" w:type="dxa"/>
            <w:tcBorders>
              <w:top w:val="single" w:sz="4" w:space="0" w:color="auto"/>
              <w:left w:val="single" w:sz="4" w:space="0" w:color="auto"/>
              <w:bottom w:val="single" w:sz="4" w:space="0" w:color="auto"/>
              <w:right w:val="single" w:sz="4" w:space="0" w:color="auto"/>
            </w:tcBorders>
          </w:tcPr>
          <w:p w14:paraId="1E11BCB3" w14:textId="77777777" w:rsidR="00C562C8" w:rsidRDefault="00C562C8">
            <w:pPr>
              <w:rPr>
                <w:b/>
                <w:szCs w:val="22"/>
              </w:rPr>
            </w:pPr>
          </w:p>
          <w:p w14:paraId="1E11BCB4" w14:textId="77777777" w:rsidR="00C562C8" w:rsidRDefault="00C562C8">
            <w:pPr>
              <w:rPr>
                <w:szCs w:val="22"/>
              </w:rPr>
            </w:pPr>
            <w:r>
              <w:rPr>
                <w:b/>
                <w:szCs w:val="22"/>
              </w:rPr>
              <w:t>No</w:t>
            </w:r>
          </w:p>
        </w:tc>
      </w:tr>
    </w:tbl>
    <w:p w14:paraId="1E11BCB6" w14:textId="77777777" w:rsidR="00C562C8" w:rsidRDefault="00C562C8" w:rsidP="00C562C8">
      <w:pPr>
        <w:rPr>
          <w:sz w:val="16"/>
          <w:szCs w:val="16"/>
        </w:rPr>
      </w:pPr>
    </w:p>
    <w:p w14:paraId="1E11BCB7" w14:textId="77777777" w:rsidR="00C562C8" w:rsidRDefault="00C562C8" w:rsidP="00C562C8">
      <w:pPr>
        <w:rPr>
          <w:sz w:val="16"/>
          <w:szCs w:val="16"/>
        </w:rPr>
      </w:pPr>
    </w:p>
    <w:p w14:paraId="1E11BCB8" w14:textId="77777777" w:rsidR="00C562C8" w:rsidRDefault="00C562C8" w:rsidP="00C562C8">
      <w:pPr>
        <w:keepNext/>
        <w:numPr>
          <w:ilvl w:val="0"/>
          <w:numId w:val="1"/>
        </w:numPr>
        <w:outlineLvl w:val="0"/>
        <w:rPr>
          <w:rFonts w:cs="Arial"/>
          <w:b/>
          <w:szCs w:val="22"/>
        </w:rPr>
      </w:pPr>
      <w:r>
        <w:rPr>
          <w:b/>
          <w:szCs w:val="22"/>
        </w:rPr>
        <w:t xml:space="preserve">PURPOSE OF THE REPORT  </w:t>
      </w:r>
    </w:p>
    <w:p w14:paraId="1E11BCB9" w14:textId="77777777" w:rsidR="00C562C8" w:rsidRDefault="00C562C8" w:rsidP="00C562C8">
      <w:pPr>
        <w:pStyle w:val="ListParagraph"/>
        <w:keepNext/>
        <w:ind w:left="360"/>
        <w:outlineLvl w:val="0"/>
      </w:pPr>
    </w:p>
    <w:p w14:paraId="1E11BCBA" w14:textId="77777777" w:rsidR="005F7BB5" w:rsidRDefault="00C562C8" w:rsidP="005F7BB5">
      <w:pPr>
        <w:pStyle w:val="BodyText"/>
        <w:tabs>
          <w:tab w:val="clear" w:pos="540"/>
          <w:tab w:val="left" w:pos="709"/>
        </w:tabs>
        <w:ind w:left="709" w:hanging="709"/>
        <w:rPr>
          <w:sz w:val="22"/>
        </w:rPr>
      </w:pPr>
      <w:r>
        <w:rPr>
          <w:sz w:val="22"/>
        </w:rPr>
        <w:t xml:space="preserve">For the Committee to consider delegating the power to </w:t>
      </w:r>
      <w:r w:rsidR="005F7BB5">
        <w:rPr>
          <w:sz w:val="22"/>
        </w:rPr>
        <w:t>the Head of Legal Services, to act as</w:t>
      </w:r>
    </w:p>
    <w:p w14:paraId="1E11BCBB" w14:textId="77777777" w:rsidR="00C562C8" w:rsidRDefault="000E0D46" w:rsidP="005F7BB5">
      <w:pPr>
        <w:pStyle w:val="BodyText"/>
        <w:tabs>
          <w:tab w:val="clear" w:pos="540"/>
          <w:tab w:val="left" w:pos="709"/>
        </w:tabs>
        <w:ind w:left="709" w:hanging="709"/>
        <w:rPr>
          <w:sz w:val="22"/>
        </w:rPr>
      </w:pPr>
      <w:proofErr w:type="gramStart"/>
      <w:r>
        <w:rPr>
          <w:sz w:val="22"/>
        </w:rPr>
        <w:t>a</w:t>
      </w:r>
      <w:proofErr w:type="gramEnd"/>
      <w:r>
        <w:rPr>
          <w:sz w:val="22"/>
        </w:rPr>
        <w:t xml:space="preserve"> R</w:t>
      </w:r>
      <w:r w:rsidR="00C562C8">
        <w:rPr>
          <w:sz w:val="22"/>
        </w:rPr>
        <w:t xml:space="preserve">esponsible </w:t>
      </w:r>
      <w:r>
        <w:rPr>
          <w:sz w:val="22"/>
        </w:rPr>
        <w:t>A</w:t>
      </w:r>
      <w:r w:rsidR="00C562C8">
        <w:rPr>
          <w:sz w:val="22"/>
        </w:rPr>
        <w:t>uthority on behalf of the Licensing Authority.</w:t>
      </w:r>
    </w:p>
    <w:p w14:paraId="1E11BCBC" w14:textId="77777777" w:rsidR="00C562C8" w:rsidRDefault="00C562C8" w:rsidP="005F7BB5">
      <w:pPr>
        <w:pStyle w:val="BodyText"/>
        <w:tabs>
          <w:tab w:val="clear" w:pos="540"/>
          <w:tab w:val="left" w:pos="709"/>
        </w:tabs>
        <w:ind w:left="709" w:hanging="709"/>
        <w:rPr>
          <w:sz w:val="22"/>
        </w:rPr>
      </w:pPr>
    </w:p>
    <w:p w14:paraId="1E11BCBD" w14:textId="77777777" w:rsidR="00C562C8" w:rsidRDefault="00C562C8" w:rsidP="00C562C8">
      <w:pPr>
        <w:keepNext/>
        <w:outlineLvl w:val="0"/>
        <w:rPr>
          <w:rFonts w:cs="Arial"/>
          <w:b/>
        </w:rPr>
      </w:pPr>
      <w:r>
        <w:rPr>
          <w:rFonts w:cs="Arial"/>
          <w:b/>
        </w:rPr>
        <w:t>2   CORPORATE PRIORITIES</w:t>
      </w:r>
    </w:p>
    <w:p w14:paraId="1E11BCBE" w14:textId="77777777" w:rsidR="00C562C8" w:rsidRDefault="00C562C8" w:rsidP="00C562C8">
      <w:pPr>
        <w:keepNext/>
        <w:outlineLvl w:val="0"/>
        <w:rPr>
          <w:rFonts w:cs="Arial"/>
          <w:b/>
          <w:szCs w:val="22"/>
        </w:rPr>
      </w:pPr>
    </w:p>
    <w:p w14:paraId="1E11BCBF" w14:textId="77777777" w:rsidR="00C562C8" w:rsidRDefault="00C562C8" w:rsidP="00C562C8">
      <w:pPr>
        <w:keepNext/>
        <w:ind w:left="360"/>
        <w:outlineLvl w:val="0"/>
        <w:rPr>
          <w:rFonts w:cs="Arial"/>
          <w:i/>
          <w:color w:val="2E74B5"/>
          <w:szCs w:val="22"/>
        </w:rPr>
      </w:pPr>
      <w:r>
        <w:rPr>
          <w:rFonts w:cs="Arial"/>
          <w:szCs w:val="22"/>
        </w:rPr>
        <w:t>The report relates to the following corporate priorities:</w:t>
      </w:r>
    </w:p>
    <w:p w14:paraId="1E11BCC0" w14:textId="77777777" w:rsidR="00C562C8" w:rsidRDefault="00C562C8" w:rsidP="00C562C8">
      <w:pPr>
        <w:keepNext/>
        <w:outlineLvl w:val="0"/>
        <w:rPr>
          <w:rFonts w:cs="Arial"/>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C562C8" w14:paraId="1E11BCC4" w14:textId="77777777" w:rsidTr="00C562C8">
        <w:tc>
          <w:tcPr>
            <w:tcW w:w="4423" w:type="dxa"/>
            <w:tcBorders>
              <w:top w:val="single" w:sz="4" w:space="0" w:color="auto"/>
              <w:left w:val="single" w:sz="4" w:space="0" w:color="auto"/>
              <w:bottom w:val="single" w:sz="4" w:space="0" w:color="auto"/>
              <w:right w:val="single" w:sz="4" w:space="0" w:color="auto"/>
            </w:tcBorders>
          </w:tcPr>
          <w:p w14:paraId="1E11BCC1" w14:textId="77777777" w:rsidR="00C562C8" w:rsidRDefault="00C562C8">
            <w:pPr>
              <w:rPr>
                <w:rFonts w:cs="Arial"/>
                <w:szCs w:val="22"/>
              </w:rPr>
            </w:pPr>
            <w:r>
              <w:rPr>
                <w:rFonts w:cs="Arial"/>
                <w:szCs w:val="22"/>
              </w:rPr>
              <w:t>Excellence and Financial Sustainability</w:t>
            </w:r>
          </w:p>
          <w:p w14:paraId="1E11BCC2" w14:textId="77777777" w:rsidR="00C562C8" w:rsidRDefault="00C562C8">
            <w:pPr>
              <w:rPr>
                <w:rFonts w:cs="Arial"/>
                <w:szCs w:val="22"/>
              </w:rPr>
            </w:pPr>
          </w:p>
        </w:tc>
        <w:tc>
          <w:tcPr>
            <w:tcW w:w="850" w:type="dxa"/>
            <w:tcBorders>
              <w:top w:val="single" w:sz="4" w:space="0" w:color="auto"/>
              <w:left w:val="single" w:sz="4" w:space="0" w:color="auto"/>
              <w:bottom w:val="single" w:sz="4" w:space="0" w:color="auto"/>
              <w:right w:val="single" w:sz="4" w:space="0" w:color="auto"/>
            </w:tcBorders>
            <w:hideMark/>
          </w:tcPr>
          <w:p w14:paraId="1E11BCC3" w14:textId="77777777" w:rsidR="00C562C8" w:rsidRDefault="00C562C8">
            <w:pPr>
              <w:rPr>
                <w:rFonts w:cs="Arial"/>
                <w:szCs w:val="22"/>
                <w:highlight w:val="yellow"/>
              </w:rPr>
            </w:pPr>
            <w:r w:rsidRPr="00D97233">
              <w:rPr>
                <w:rFonts w:cs="Arial"/>
                <w:szCs w:val="22"/>
              </w:rPr>
              <w:t>x</w:t>
            </w:r>
          </w:p>
        </w:tc>
      </w:tr>
      <w:tr w:rsidR="00C562C8" w14:paraId="1E11BCC8" w14:textId="77777777" w:rsidTr="00C562C8">
        <w:tc>
          <w:tcPr>
            <w:tcW w:w="4423" w:type="dxa"/>
            <w:tcBorders>
              <w:top w:val="single" w:sz="4" w:space="0" w:color="auto"/>
              <w:left w:val="single" w:sz="4" w:space="0" w:color="auto"/>
              <w:bottom w:val="single" w:sz="4" w:space="0" w:color="auto"/>
              <w:right w:val="single" w:sz="4" w:space="0" w:color="auto"/>
            </w:tcBorders>
          </w:tcPr>
          <w:p w14:paraId="1E11BCC5" w14:textId="77777777" w:rsidR="00C562C8" w:rsidRDefault="00C562C8">
            <w:pPr>
              <w:rPr>
                <w:rFonts w:cs="Arial"/>
                <w:szCs w:val="22"/>
              </w:rPr>
            </w:pPr>
            <w:r>
              <w:rPr>
                <w:rFonts w:cs="Arial"/>
                <w:szCs w:val="22"/>
              </w:rPr>
              <w:t>Health and Wellbeing</w:t>
            </w:r>
          </w:p>
          <w:p w14:paraId="1E11BCC6" w14:textId="77777777" w:rsidR="00C562C8" w:rsidRDefault="00C562C8">
            <w:pPr>
              <w:rPr>
                <w:rFonts w:cs="Arial"/>
                <w:szCs w:val="22"/>
              </w:rPr>
            </w:pPr>
          </w:p>
        </w:tc>
        <w:tc>
          <w:tcPr>
            <w:tcW w:w="850" w:type="dxa"/>
            <w:tcBorders>
              <w:top w:val="single" w:sz="4" w:space="0" w:color="auto"/>
              <w:left w:val="single" w:sz="4" w:space="0" w:color="auto"/>
              <w:bottom w:val="single" w:sz="4" w:space="0" w:color="auto"/>
              <w:right w:val="single" w:sz="4" w:space="0" w:color="auto"/>
            </w:tcBorders>
          </w:tcPr>
          <w:p w14:paraId="1E11BCC7" w14:textId="77777777" w:rsidR="00C562C8" w:rsidRDefault="00C562C8">
            <w:pPr>
              <w:rPr>
                <w:rFonts w:cs="Arial"/>
                <w:szCs w:val="22"/>
                <w:highlight w:val="yellow"/>
              </w:rPr>
            </w:pPr>
          </w:p>
        </w:tc>
      </w:tr>
      <w:tr w:rsidR="00C562C8" w14:paraId="1E11BCCC" w14:textId="77777777" w:rsidTr="00C562C8">
        <w:tc>
          <w:tcPr>
            <w:tcW w:w="4423" w:type="dxa"/>
            <w:tcBorders>
              <w:top w:val="single" w:sz="4" w:space="0" w:color="auto"/>
              <w:left w:val="single" w:sz="4" w:space="0" w:color="auto"/>
              <w:bottom w:val="single" w:sz="4" w:space="0" w:color="auto"/>
              <w:right w:val="single" w:sz="4" w:space="0" w:color="auto"/>
            </w:tcBorders>
          </w:tcPr>
          <w:p w14:paraId="1E11BCC9" w14:textId="77777777" w:rsidR="00C562C8" w:rsidRDefault="00C562C8">
            <w:pPr>
              <w:rPr>
                <w:rFonts w:cs="Arial"/>
                <w:szCs w:val="22"/>
              </w:rPr>
            </w:pPr>
            <w:r>
              <w:rPr>
                <w:rFonts w:cs="Arial"/>
                <w:szCs w:val="22"/>
              </w:rPr>
              <w:t>Place</w:t>
            </w:r>
          </w:p>
          <w:p w14:paraId="1E11BCCA" w14:textId="77777777" w:rsidR="00C562C8" w:rsidRDefault="00C562C8">
            <w:pPr>
              <w:rPr>
                <w:rFonts w:cs="Arial"/>
                <w:szCs w:val="22"/>
              </w:rPr>
            </w:pPr>
          </w:p>
        </w:tc>
        <w:tc>
          <w:tcPr>
            <w:tcW w:w="850" w:type="dxa"/>
            <w:tcBorders>
              <w:top w:val="single" w:sz="4" w:space="0" w:color="auto"/>
              <w:left w:val="single" w:sz="4" w:space="0" w:color="auto"/>
              <w:bottom w:val="single" w:sz="4" w:space="0" w:color="auto"/>
              <w:right w:val="single" w:sz="4" w:space="0" w:color="auto"/>
            </w:tcBorders>
          </w:tcPr>
          <w:p w14:paraId="1E11BCCB" w14:textId="77777777" w:rsidR="00C562C8" w:rsidRDefault="00C562C8">
            <w:pPr>
              <w:rPr>
                <w:rFonts w:cs="Arial"/>
                <w:szCs w:val="22"/>
              </w:rPr>
            </w:pPr>
          </w:p>
        </w:tc>
      </w:tr>
    </w:tbl>
    <w:p w14:paraId="1E11BCCD" w14:textId="77777777" w:rsidR="00C562C8" w:rsidRDefault="00C562C8" w:rsidP="00C562C8">
      <w:pPr>
        <w:rPr>
          <w:rFonts w:cs="Arial"/>
          <w:szCs w:val="22"/>
        </w:rPr>
      </w:pPr>
    </w:p>
    <w:p w14:paraId="1E11BCCE" w14:textId="77777777" w:rsidR="00C562C8" w:rsidRDefault="00C562C8" w:rsidP="00C562C8">
      <w:pPr>
        <w:ind w:firstLine="720"/>
      </w:pPr>
      <w:r>
        <w:t>Projects relating to People in the Corporate Plan:</w:t>
      </w:r>
    </w:p>
    <w:p w14:paraId="1E11BCCF" w14:textId="77777777" w:rsidR="00C562C8" w:rsidRDefault="00C562C8" w:rsidP="00C562C8">
      <w:pPr>
        <w:ind w:firstLine="720"/>
      </w:pPr>
    </w:p>
    <w:tbl>
      <w:tblPr>
        <w:tblW w:w="5273" w:type="dxa"/>
        <w:tblInd w:w="534" w:type="dxa"/>
        <w:tblCellMar>
          <w:left w:w="10" w:type="dxa"/>
          <w:right w:w="10" w:type="dxa"/>
        </w:tblCellMar>
        <w:tblLook w:val="04A0" w:firstRow="1" w:lastRow="0" w:firstColumn="1" w:lastColumn="0" w:noHBand="0" w:noVBand="1"/>
      </w:tblPr>
      <w:tblGrid>
        <w:gridCol w:w="4423"/>
        <w:gridCol w:w="850"/>
      </w:tblGrid>
      <w:tr w:rsidR="00C562C8" w14:paraId="1E11BCD3" w14:textId="77777777" w:rsidTr="00C562C8">
        <w:tc>
          <w:tcPr>
            <w:tcW w:w="4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1BCD0" w14:textId="77777777" w:rsidR="00C562C8" w:rsidRDefault="00C562C8">
            <w:pPr>
              <w:rPr>
                <w:szCs w:val="22"/>
              </w:rPr>
            </w:pPr>
            <w:r>
              <w:rPr>
                <w:szCs w:val="22"/>
              </w:rPr>
              <w:t xml:space="preserve">People </w:t>
            </w:r>
          </w:p>
          <w:p w14:paraId="1E11BCD1" w14:textId="77777777" w:rsidR="00C562C8" w:rsidRDefault="00C562C8">
            <w:pPr>
              <w:rPr>
                <w:szCs w:val="22"/>
              </w:rP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1BCD2" w14:textId="77777777" w:rsidR="00C562C8" w:rsidRDefault="00C562C8">
            <w:pPr>
              <w:rPr>
                <w:szCs w:val="22"/>
              </w:rPr>
            </w:pPr>
          </w:p>
        </w:tc>
      </w:tr>
    </w:tbl>
    <w:p w14:paraId="1E11BCD4" w14:textId="77777777" w:rsidR="00C562C8" w:rsidRDefault="00C562C8" w:rsidP="00C562C8">
      <w:pPr>
        <w:rPr>
          <w:rFonts w:cs="Arial"/>
          <w:szCs w:val="22"/>
        </w:rPr>
      </w:pPr>
    </w:p>
    <w:p w14:paraId="1E11BCD5" w14:textId="77777777" w:rsidR="00C562C8" w:rsidRDefault="00C562C8" w:rsidP="00C562C8">
      <w:pPr>
        <w:rPr>
          <w:rFonts w:cs="Arial"/>
          <w:b/>
          <w:szCs w:val="22"/>
        </w:rPr>
      </w:pPr>
    </w:p>
    <w:p w14:paraId="1E11BCD6" w14:textId="77777777" w:rsidR="00C562C8" w:rsidRDefault="00C562C8" w:rsidP="00C562C8">
      <w:pPr>
        <w:rPr>
          <w:rFonts w:cs="Arial"/>
          <w:b/>
        </w:rPr>
      </w:pPr>
      <w:r>
        <w:rPr>
          <w:rFonts w:cs="Arial"/>
          <w:b/>
        </w:rPr>
        <w:t>3. RECOMMENDATIONS</w:t>
      </w:r>
    </w:p>
    <w:p w14:paraId="1E11BCD7" w14:textId="77777777" w:rsidR="00C562C8" w:rsidRDefault="00C562C8" w:rsidP="00C562C8">
      <w:pPr>
        <w:rPr>
          <w:rFonts w:cs="Arial"/>
          <w:b/>
        </w:rPr>
      </w:pPr>
    </w:p>
    <w:p w14:paraId="1E11BCD8" w14:textId="77777777" w:rsidR="00C562C8" w:rsidRDefault="000E0D46" w:rsidP="000E0D46">
      <w:pPr>
        <w:tabs>
          <w:tab w:val="left" w:pos="709"/>
        </w:tabs>
        <w:ind w:left="705" w:hanging="705"/>
        <w:jc w:val="both"/>
      </w:pPr>
      <w:r>
        <w:t xml:space="preserve">3.1 </w:t>
      </w:r>
      <w:r>
        <w:tab/>
      </w:r>
      <w:r w:rsidR="00C562C8">
        <w:t xml:space="preserve">To </w:t>
      </w:r>
      <w:r>
        <w:t>delegate the power to act as a Responsible A</w:t>
      </w:r>
      <w:r w:rsidR="00C562C8">
        <w:t xml:space="preserve">uthority on behalf of the Licensing Authority to the Head of Legal Services </w:t>
      </w:r>
    </w:p>
    <w:p w14:paraId="1E11BCD9" w14:textId="77777777" w:rsidR="005F7BB5" w:rsidRDefault="005F7BB5" w:rsidP="005F7BB5">
      <w:pPr>
        <w:tabs>
          <w:tab w:val="left" w:pos="709"/>
        </w:tabs>
        <w:jc w:val="both"/>
      </w:pPr>
    </w:p>
    <w:p w14:paraId="1E11BCDA" w14:textId="77777777" w:rsidR="005F7BB5" w:rsidRDefault="000E0D46" w:rsidP="000E0D46">
      <w:pPr>
        <w:tabs>
          <w:tab w:val="left" w:pos="709"/>
        </w:tabs>
        <w:ind w:left="705" w:hanging="705"/>
        <w:jc w:val="both"/>
      </w:pPr>
      <w:r>
        <w:t xml:space="preserve">3.2 </w:t>
      </w:r>
      <w:r>
        <w:tab/>
      </w:r>
      <w:r w:rsidR="005F7BB5">
        <w:t xml:space="preserve">If Committee are minded to approve the delegation, then </w:t>
      </w:r>
      <w:r w:rsidR="005F7BB5" w:rsidRPr="005F1E51">
        <w:rPr>
          <w:szCs w:val="22"/>
        </w:rPr>
        <w:t xml:space="preserve">forward this report to the </w:t>
      </w:r>
      <w:r w:rsidR="005F7BB5">
        <w:rPr>
          <w:szCs w:val="22"/>
        </w:rPr>
        <w:t xml:space="preserve">next </w:t>
      </w:r>
      <w:r w:rsidR="005F7BB5" w:rsidRPr="005F1E51">
        <w:rPr>
          <w:szCs w:val="22"/>
        </w:rPr>
        <w:t xml:space="preserve">meeting of </w:t>
      </w:r>
      <w:r w:rsidR="005F7BB5">
        <w:rPr>
          <w:szCs w:val="22"/>
        </w:rPr>
        <w:t xml:space="preserve">full Council </w:t>
      </w:r>
      <w:r w:rsidR="005F7BB5" w:rsidRPr="005F1E51">
        <w:rPr>
          <w:szCs w:val="22"/>
        </w:rPr>
        <w:t>with a recommendation for formal adoption</w:t>
      </w:r>
    </w:p>
    <w:p w14:paraId="1E11BCDB" w14:textId="77777777" w:rsidR="00C562C8" w:rsidRDefault="00C562C8" w:rsidP="00C562C8">
      <w:pPr>
        <w:rPr>
          <w:szCs w:val="22"/>
        </w:rPr>
      </w:pPr>
    </w:p>
    <w:p w14:paraId="1E11BCDC" w14:textId="77777777" w:rsidR="00C562C8" w:rsidRDefault="00C562C8" w:rsidP="00C562C8">
      <w:pPr>
        <w:rPr>
          <w:rFonts w:cs="Arial"/>
          <w:b/>
          <w:szCs w:val="22"/>
        </w:rPr>
      </w:pPr>
    </w:p>
    <w:p w14:paraId="1E11BCDD" w14:textId="77777777" w:rsidR="00C562C8" w:rsidRDefault="00C562C8" w:rsidP="00C562C8">
      <w:pPr>
        <w:rPr>
          <w:rFonts w:cs="Arial"/>
          <w:b/>
          <w:szCs w:val="22"/>
        </w:rPr>
      </w:pPr>
      <w:r>
        <w:rPr>
          <w:rFonts w:cs="Arial"/>
          <w:b/>
          <w:szCs w:val="22"/>
        </w:rPr>
        <w:t>4.   BACKGROUND TO THE REPORT</w:t>
      </w:r>
    </w:p>
    <w:p w14:paraId="1E11BCDE" w14:textId="77777777" w:rsidR="00C562C8" w:rsidRDefault="00C562C8" w:rsidP="00C562C8">
      <w:pPr>
        <w:rPr>
          <w:rFonts w:cs="Arial"/>
          <w:b/>
          <w:szCs w:val="22"/>
        </w:rPr>
      </w:pPr>
    </w:p>
    <w:p w14:paraId="1E11BCE0" w14:textId="77777777" w:rsidR="00C562C8" w:rsidRDefault="00C562C8" w:rsidP="00181D85">
      <w:pPr>
        <w:pStyle w:val="BodyTextIndent"/>
        <w:ind w:left="705" w:hanging="705"/>
        <w:jc w:val="both"/>
        <w:rPr>
          <w:sz w:val="22"/>
        </w:rPr>
      </w:pPr>
      <w:r>
        <w:rPr>
          <w:sz w:val="22"/>
        </w:rPr>
        <w:t>4.1</w:t>
      </w:r>
      <w:r>
        <w:rPr>
          <w:sz w:val="22"/>
        </w:rPr>
        <w:tab/>
        <w:t>Section 7 of the Licensing Act 2003 makes the Licensing Committee responsible for discharging the licensing functions of the Licensing Authority. This includes the power to delegate.</w:t>
      </w:r>
    </w:p>
    <w:p w14:paraId="1E11BCE1" w14:textId="77777777" w:rsidR="00C562C8" w:rsidRDefault="00C562C8" w:rsidP="00181D85">
      <w:pPr>
        <w:pStyle w:val="BodyTextIndent"/>
        <w:ind w:left="0" w:firstLine="0"/>
        <w:jc w:val="both"/>
        <w:rPr>
          <w:sz w:val="22"/>
        </w:rPr>
      </w:pPr>
    </w:p>
    <w:p w14:paraId="1E11BCE2" w14:textId="77777777" w:rsidR="00C562C8" w:rsidRDefault="00C562C8" w:rsidP="00181D85">
      <w:pPr>
        <w:pStyle w:val="BodyTextIndent"/>
        <w:ind w:left="705" w:hanging="705"/>
        <w:jc w:val="both"/>
        <w:rPr>
          <w:sz w:val="22"/>
        </w:rPr>
      </w:pPr>
      <w:r>
        <w:rPr>
          <w:sz w:val="22"/>
        </w:rPr>
        <w:t>4.2</w:t>
      </w:r>
      <w:r>
        <w:rPr>
          <w:sz w:val="22"/>
        </w:rPr>
        <w:tab/>
        <w:t>Section 103 of the Police Reform and Social Responsibility Act 2011 when in force amends the Licensing Act 2003 by ma</w:t>
      </w:r>
      <w:r w:rsidR="00181D85">
        <w:rPr>
          <w:sz w:val="22"/>
        </w:rPr>
        <w:t>king the Licensing Authority a R</w:t>
      </w:r>
      <w:r>
        <w:rPr>
          <w:sz w:val="22"/>
        </w:rPr>
        <w:t xml:space="preserve">esponsible </w:t>
      </w:r>
      <w:r w:rsidR="00181D85">
        <w:rPr>
          <w:sz w:val="22"/>
        </w:rPr>
        <w:t>A</w:t>
      </w:r>
      <w:r>
        <w:rPr>
          <w:sz w:val="22"/>
        </w:rPr>
        <w:t xml:space="preserve">uthority. This means that the </w:t>
      </w:r>
      <w:r w:rsidR="00181D85">
        <w:rPr>
          <w:sz w:val="22"/>
        </w:rPr>
        <w:t>Licensing A</w:t>
      </w:r>
      <w:r>
        <w:rPr>
          <w:sz w:val="22"/>
        </w:rPr>
        <w:t>uthority itself will be able to make representations and submit applications for licence reviews.</w:t>
      </w:r>
      <w:r w:rsidR="00181D85">
        <w:rPr>
          <w:sz w:val="22"/>
        </w:rPr>
        <w:t xml:space="preserve">  The Licensing Authority has never previously called a review on any premises and therefore this delegation was not required.  </w:t>
      </w:r>
    </w:p>
    <w:p w14:paraId="1E11BCE3" w14:textId="77777777" w:rsidR="00C562C8" w:rsidRDefault="00C562C8" w:rsidP="00181D85">
      <w:pPr>
        <w:pStyle w:val="BodyTextIndent"/>
        <w:ind w:left="0" w:firstLine="0"/>
        <w:jc w:val="both"/>
        <w:rPr>
          <w:sz w:val="22"/>
        </w:rPr>
      </w:pPr>
    </w:p>
    <w:p w14:paraId="1E11BCE4" w14:textId="77777777" w:rsidR="00C562C8" w:rsidRPr="00181D85" w:rsidRDefault="00C562C8" w:rsidP="00181D85">
      <w:pPr>
        <w:pStyle w:val="BodyTextIndent"/>
        <w:ind w:left="705" w:hanging="705"/>
        <w:jc w:val="both"/>
        <w:rPr>
          <w:sz w:val="22"/>
          <w:szCs w:val="22"/>
        </w:rPr>
      </w:pPr>
      <w:r>
        <w:rPr>
          <w:sz w:val="22"/>
        </w:rPr>
        <w:t>4.3</w:t>
      </w:r>
      <w:r>
        <w:rPr>
          <w:sz w:val="22"/>
        </w:rPr>
        <w:tab/>
      </w:r>
      <w:r w:rsidR="00181D85" w:rsidRPr="00181D85">
        <w:rPr>
          <w:rFonts w:cs="Arial"/>
          <w:sz w:val="22"/>
          <w:szCs w:val="22"/>
        </w:rPr>
        <w:t>As a result of no formal delegation in place, a Standing Order 35 procedure had to be initiated and was signed off by the Chairman of the Licensing Committee on the 25</w:t>
      </w:r>
      <w:r w:rsidR="00181D85" w:rsidRPr="00181D85">
        <w:rPr>
          <w:rFonts w:cs="Arial"/>
          <w:sz w:val="22"/>
          <w:szCs w:val="22"/>
          <w:vertAlign w:val="superscript"/>
        </w:rPr>
        <w:t>th</w:t>
      </w:r>
      <w:r w:rsidR="00181D85" w:rsidRPr="00181D85">
        <w:rPr>
          <w:rFonts w:cs="Arial"/>
          <w:sz w:val="22"/>
          <w:szCs w:val="22"/>
        </w:rPr>
        <w:t xml:space="preserve"> June 2018</w:t>
      </w:r>
      <w:r w:rsidR="000E0D46">
        <w:rPr>
          <w:rFonts w:cs="Arial"/>
          <w:sz w:val="22"/>
          <w:szCs w:val="22"/>
        </w:rPr>
        <w:t xml:space="preserve">, </w:t>
      </w:r>
      <w:r w:rsidR="00181D85">
        <w:rPr>
          <w:rFonts w:cs="Arial"/>
          <w:sz w:val="22"/>
          <w:szCs w:val="22"/>
        </w:rPr>
        <w:t xml:space="preserve">to allow the Licensing Authority to call for a review of premises in its own right, as a Responsible Authority.  </w:t>
      </w:r>
    </w:p>
    <w:p w14:paraId="1E11BCE5" w14:textId="77777777" w:rsidR="00C562C8" w:rsidRPr="00181D85" w:rsidRDefault="00C562C8" w:rsidP="00181D85">
      <w:pPr>
        <w:pStyle w:val="Style3"/>
        <w:tabs>
          <w:tab w:val="clear" w:pos="540"/>
          <w:tab w:val="left" w:pos="709"/>
        </w:tabs>
        <w:rPr>
          <w:szCs w:val="22"/>
        </w:rPr>
      </w:pPr>
    </w:p>
    <w:p w14:paraId="1E11BCE6" w14:textId="77777777" w:rsidR="00181D85" w:rsidRPr="00181D85" w:rsidRDefault="00C562C8" w:rsidP="00181D85">
      <w:pPr>
        <w:pStyle w:val="BodyTextIndent"/>
        <w:ind w:left="705" w:hanging="705"/>
        <w:jc w:val="both"/>
        <w:rPr>
          <w:sz w:val="22"/>
          <w:szCs w:val="22"/>
        </w:rPr>
      </w:pPr>
      <w:r w:rsidRPr="00181D85">
        <w:rPr>
          <w:sz w:val="22"/>
          <w:szCs w:val="22"/>
        </w:rPr>
        <w:t>4.4</w:t>
      </w:r>
      <w:r w:rsidRPr="00181D85">
        <w:rPr>
          <w:sz w:val="22"/>
          <w:szCs w:val="22"/>
        </w:rPr>
        <w:tab/>
      </w:r>
      <w:r w:rsidR="00181D85" w:rsidRPr="00181D85">
        <w:rPr>
          <w:sz w:val="22"/>
          <w:szCs w:val="22"/>
        </w:rPr>
        <w:t>If the power to make representations is not delegated to a Council Officer then the decision making power would rest with the Licens</w:t>
      </w:r>
      <w:r w:rsidR="00181D85">
        <w:rPr>
          <w:sz w:val="22"/>
          <w:szCs w:val="22"/>
        </w:rPr>
        <w:t>ing Committee, each time the Licensing Authority wished to call a Review.</w:t>
      </w:r>
    </w:p>
    <w:p w14:paraId="1E11BCE7" w14:textId="77777777" w:rsidR="005F7BB5" w:rsidRDefault="005F7BB5" w:rsidP="00181D85">
      <w:pPr>
        <w:jc w:val="both"/>
        <w:rPr>
          <w:rFonts w:cs="Arial"/>
          <w:szCs w:val="22"/>
        </w:rPr>
      </w:pPr>
    </w:p>
    <w:p w14:paraId="1E11BCE8" w14:textId="77777777" w:rsidR="00C562C8" w:rsidRDefault="005F7BB5" w:rsidP="00181D85">
      <w:pPr>
        <w:ind w:left="705" w:hanging="705"/>
        <w:jc w:val="both"/>
      </w:pPr>
      <w:r>
        <w:t xml:space="preserve">4.5 </w:t>
      </w:r>
      <w:r>
        <w:tab/>
      </w:r>
      <w:r w:rsidR="00C562C8">
        <w:t xml:space="preserve">The Head of legal Services is considered to be the appropriate officer to delegate these powers because the Licensing Service </w:t>
      </w:r>
      <w:r>
        <w:t xml:space="preserve">is </w:t>
      </w:r>
      <w:r w:rsidR="00C562C8">
        <w:t>his area of responsibility.</w:t>
      </w:r>
    </w:p>
    <w:p w14:paraId="1E11BCE9" w14:textId="77777777" w:rsidR="00C562C8" w:rsidRDefault="00C562C8" w:rsidP="00181D85">
      <w:pPr>
        <w:tabs>
          <w:tab w:val="left" w:pos="709"/>
        </w:tabs>
        <w:jc w:val="both"/>
      </w:pPr>
    </w:p>
    <w:p w14:paraId="1E11BCEA" w14:textId="77777777" w:rsidR="00C562C8" w:rsidRDefault="00C562C8" w:rsidP="00C562C8">
      <w:pPr>
        <w:rPr>
          <w:rFonts w:cs="Arial"/>
          <w:b/>
          <w:color w:val="000000"/>
          <w:szCs w:val="22"/>
        </w:rPr>
      </w:pPr>
    </w:p>
    <w:p w14:paraId="1E11BCEB" w14:textId="77777777" w:rsidR="00C562C8" w:rsidRDefault="00C562C8" w:rsidP="00C562C8">
      <w:pPr>
        <w:rPr>
          <w:rFonts w:cs="Arial"/>
          <w:b/>
          <w:szCs w:val="22"/>
        </w:rPr>
      </w:pPr>
      <w:r>
        <w:rPr>
          <w:rFonts w:cs="Arial"/>
          <w:b/>
          <w:szCs w:val="22"/>
        </w:rPr>
        <w:t xml:space="preserve">5.    </w:t>
      </w:r>
      <w:r>
        <w:rPr>
          <w:rFonts w:cs="Arial"/>
          <w:b/>
          <w:caps/>
          <w:szCs w:val="22"/>
        </w:rPr>
        <w:t>Financial implications</w:t>
      </w:r>
    </w:p>
    <w:p w14:paraId="1E11BCEC" w14:textId="77777777" w:rsidR="00C562C8" w:rsidRDefault="00C562C8" w:rsidP="00C562C8">
      <w:pPr>
        <w:ind w:left="567"/>
        <w:rPr>
          <w:rFonts w:cs="Arial"/>
          <w:b/>
          <w:caps/>
          <w:szCs w:val="22"/>
        </w:rPr>
      </w:pPr>
    </w:p>
    <w:p w14:paraId="1E11BCED" w14:textId="77777777" w:rsidR="00C562C8" w:rsidRDefault="00C562C8" w:rsidP="00C562C8">
      <w:pPr>
        <w:rPr>
          <w:rFonts w:cs="Arial"/>
          <w:b/>
          <w:szCs w:val="22"/>
        </w:rPr>
      </w:pPr>
      <w:r>
        <w:rPr>
          <w:rFonts w:cs="Arial"/>
        </w:rPr>
        <w:t xml:space="preserve">5.1 </w:t>
      </w:r>
      <w:r w:rsidR="000E0D46">
        <w:rPr>
          <w:rFonts w:cs="Arial"/>
        </w:rPr>
        <w:tab/>
      </w:r>
      <w:r>
        <w:rPr>
          <w:rFonts w:cs="Arial"/>
        </w:rPr>
        <w:t>T</w:t>
      </w:r>
      <w:r>
        <w:rPr>
          <w:rFonts w:cs="Arial"/>
          <w:szCs w:val="22"/>
        </w:rPr>
        <w:t>here are no direct financial implications arising from this report.</w:t>
      </w:r>
      <w:r>
        <w:rPr>
          <w:rFonts w:cs="Arial"/>
          <w:color w:val="FF0000"/>
        </w:rPr>
        <w:t xml:space="preserve">  </w:t>
      </w:r>
    </w:p>
    <w:p w14:paraId="1E11BCEE" w14:textId="77777777" w:rsidR="00C562C8" w:rsidRDefault="00C562C8" w:rsidP="00C562C8">
      <w:pPr>
        <w:rPr>
          <w:rFonts w:cs="Arial"/>
          <w:b/>
          <w:szCs w:val="22"/>
        </w:rPr>
      </w:pPr>
    </w:p>
    <w:p w14:paraId="1E11BCEF" w14:textId="77777777" w:rsidR="00C562C8" w:rsidRDefault="00C562C8" w:rsidP="00C562C8">
      <w:pPr>
        <w:rPr>
          <w:rFonts w:cs="Arial"/>
          <w:caps/>
          <w:szCs w:val="22"/>
        </w:rPr>
      </w:pPr>
      <w:r>
        <w:rPr>
          <w:rFonts w:cs="Arial"/>
          <w:b/>
          <w:caps/>
          <w:szCs w:val="22"/>
        </w:rPr>
        <w:t>6.    LEGAL IMPLICATIONS</w:t>
      </w:r>
    </w:p>
    <w:p w14:paraId="1E11BCF0" w14:textId="77777777" w:rsidR="00C562C8" w:rsidRDefault="00C562C8" w:rsidP="00C562C8">
      <w:pPr>
        <w:rPr>
          <w:rFonts w:cs="Arial"/>
          <w:caps/>
          <w:szCs w:val="22"/>
        </w:rPr>
      </w:pPr>
    </w:p>
    <w:p w14:paraId="1E11BCF1" w14:textId="77777777" w:rsidR="00C562C8" w:rsidRDefault="00C562C8" w:rsidP="000E0D46">
      <w:pPr>
        <w:tabs>
          <w:tab w:val="left" w:pos="709"/>
        </w:tabs>
        <w:ind w:left="709" w:hanging="709"/>
        <w:jc w:val="both"/>
      </w:pPr>
      <w:r>
        <w:rPr>
          <w:rFonts w:cs="Arial"/>
          <w:caps/>
          <w:szCs w:val="22"/>
        </w:rPr>
        <w:t>6.1</w:t>
      </w:r>
      <w:r>
        <w:rPr>
          <w:rFonts w:cs="Arial"/>
          <w:b/>
          <w:caps/>
          <w:szCs w:val="22"/>
        </w:rPr>
        <w:t xml:space="preserve"> </w:t>
      </w:r>
      <w:r w:rsidR="000E0D46">
        <w:rPr>
          <w:rFonts w:cs="Arial"/>
          <w:b/>
          <w:caps/>
          <w:szCs w:val="22"/>
        </w:rPr>
        <w:tab/>
      </w:r>
      <w:r>
        <w:t>The guidance on the Police and Social Responsibility Act 2011, is that it is necessary for the Licensing Committee to confirm the delegation of powers on behalf of the Licensing Authority.</w:t>
      </w:r>
    </w:p>
    <w:p w14:paraId="1E11BCF2" w14:textId="77777777" w:rsidR="00C562C8" w:rsidRDefault="00C562C8" w:rsidP="00C562C8">
      <w:pPr>
        <w:tabs>
          <w:tab w:val="left" w:pos="993"/>
        </w:tabs>
        <w:ind w:left="709"/>
      </w:pPr>
    </w:p>
    <w:p w14:paraId="1E11BCF3" w14:textId="77777777" w:rsidR="00C562C8" w:rsidRDefault="00C562C8" w:rsidP="00C562C8">
      <w:pPr>
        <w:rPr>
          <w:rFonts w:cs="Arial"/>
          <w:b/>
          <w:szCs w:val="22"/>
        </w:rPr>
      </w:pPr>
      <w:r>
        <w:rPr>
          <w:rFonts w:cs="Arial"/>
          <w:b/>
          <w:szCs w:val="22"/>
        </w:rPr>
        <w:t>7.  COMMENTS OF THE STATUTORY FINANCE OFFICER</w:t>
      </w:r>
    </w:p>
    <w:p w14:paraId="1E11BCF4" w14:textId="77777777" w:rsidR="00C562C8" w:rsidRDefault="00C562C8" w:rsidP="00C562C8">
      <w:pPr>
        <w:rPr>
          <w:rFonts w:cs="Arial"/>
          <w:b/>
          <w:szCs w:val="22"/>
        </w:rPr>
      </w:pPr>
    </w:p>
    <w:p w14:paraId="0C84A137" w14:textId="574656C6" w:rsidR="004A0892" w:rsidRPr="004A0892" w:rsidRDefault="004A0892" w:rsidP="00C562C8">
      <w:pPr>
        <w:rPr>
          <w:rFonts w:cs="Arial"/>
          <w:szCs w:val="22"/>
        </w:rPr>
      </w:pPr>
      <w:r w:rsidRPr="004A0892">
        <w:rPr>
          <w:rFonts w:cs="Arial"/>
          <w:szCs w:val="22"/>
        </w:rPr>
        <w:t>There are no financial comments in line with paragraph 5.1 of the report.</w:t>
      </w:r>
    </w:p>
    <w:p w14:paraId="1E11BCF5" w14:textId="77777777" w:rsidR="00C562C8" w:rsidRPr="004A0892" w:rsidRDefault="00C562C8" w:rsidP="00C562C8">
      <w:pPr>
        <w:rPr>
          <w:rFonts w:cs="Arial"/>
          <w:szCs w:val="22"/>
        </w:rPr>
      </w:pPr>
    </w:p>
    <w:p w14:paraId="1E11BCF6" w14:textId="77777777" w:rsidR="00C562C8" w:rsidRDefault="00C562C8" w:rsidP="00C562C8">
      <w:pPr>
        <w:rPr>
          <w:rFonts w:cs="Arial"/>
          <w:b/>
          <w:szCs w:val="22"/>
        </w:rPr>
      </w:pPr>
      <w:r>
        <w:rPr>
          <w:rFonts w:cs="Arial"/>
          <w:b/>
          <w:szCs w:val="22"/>
        </w:rPr>
        <w:t>9.  COMMENTS OF THE MONITORING OFFICER</w:t>
      </w:r>
    </w:p>
    <w:p w14:paraId="1E11BCF7" w14:textId="77777777" w:rsidR="00181D85" w:rsidRDefault="00181D85" w:rsidP="00C562C8">
      <w:pPr>
        <w:rPr>
          <w:rFonts w:cs="Arial"/>
          <w:b/>
          <w:szCs w:val="22"/>
        </w:rPr>
      </w:pPr>
    </w:p>
    <w:p w14:paraId="1E11BCF8" w14:textId="77777777" w:rsidR="00C562C8" w:rsidRPr="00181D85" w:rsidRDefault="00181D85" w:rsidP="00C562C8">
      <w:pPr>
        <w:rPr>
          <w:rFonts w:cs="Arial"/>
          <w:szCs w:val="22"/>
        </w:rPr>
      </w:pPr>
      <w:r w:rsidRPr="00181D85">
        <w:rPr>
          <w:rFonts w:cs="Arial"/>
          <w:szCs w:val="22"/>
        </w:rPr>
        <w:t xml:space="preserve"> The legal implications are identified within Paragraph 6.1 of the report.</w:t>
      </w:r>
    </w:p>
    <w:p w14:paraId="1E11BCF9" w14:textId="77777777" w:rsidR="00C562C8" w:rsidRDefault="00C562C8" w:rsidP="00C562C8">
      <w:pPr>
        <w:ind w:left="567" w:hanging="567"/>
        <w:rPr>
          <w:rFonts w:cs="Arial"/>
          <w:b/>
          <w:strike/>
          <w:szCs w:val="22"/>
        </w:rPr>
      </w:pPr>
    </w:p>
    <w:p w14:paraId="1E11BCFA" w14:textId="77777777" w:rsidR="00C562C8" w:rsidRDefault="00C562C8" w:rsidP="00C562C8">
      <w:pPr>
        <w:rPr>
          <w:rFonts w:cs="Arial"/>
          <w:b/>
          <w:szCs w:val="22"/>
        </w:rPr>
      </w:pPr>
      <w:r>
        <w:rPr>
          <w:rFonts w:cs="Arial"/>
          <w:b/>
          <w:szCs w:val="22"/>
        </w:rPr>
        <w:t xml:space="preserve">10.  OTHER IMPLICATIONS: </w:t>
      </w:r>
    </w:p>
    <w:p w14:paraId="1E11BCFB" w14:textId="77777777" w:rsidR="00C562C8" w:rsidRDefault="00C562C8" w:rsidP="00C562C8">
      <w:pPr>
        <w:rPr>
          <w:rFonts w:cs="Arial"/>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C562C8" w14:paraId="1E11BD1E" w14:textId="77777777" w:rsidTr="00C562C8">
        <w:trPr>
          <w:trHeight w:val="334"/>
        </w:trPr>
        <w:tc>
          <w:tcPr>
            <w:tcW w:w="3544" w:type="dxa"/>
            <w:tcBorders>
              <w:top w:val="single" w:sz="4" w:space="0" w:color="auto"/>
              <w:left w:val="single" w:sz="4" w:space="0" w:color="auto"/>
              <w:bottom w:val="single" w:sz="4" w:space="0" w:color="auto"/>
              <w:right w:val="single" w:sz="4" w:space="0" w:color="auto"/>
            </w:tcBorders>
          </w:tcPr>
          <w:p w14:paraId="1E11BCFC" w14:textId="77777777" w:rsidR="00C562C8" w:rsidRDefault="00C562C8">
            <w:pPr>
              <w:rPr>
                <w:rFonts w:cs="Arial"/>
                <w:b/>
                <w:szCs w:val="22"/>
              </w:rPr>
            </w:pPr>
          </w:p>
          <w:p w14:paraId="1E11BCFD" w14:textId="77777777" w:rsidR="00C562C8" w:rsidRDefault="00C562C8" w:rsidP="003A712E">
            <w:pPr>
              <w:numPr>
                <w:ilvl w:val="0"/>
                <w:numId w:val="2"/>
              </w:numPr>
              <w:ind w:left="360"/>
              <w:rPr>
                <w:rFonts w:cs="Arial"/>
                <w:b/>
                <w:szCs w:val="22"/>
              </w:rPr>
            </w:pPr>
            <w:r>
              <w:rPr>
                <w:rFonts w:cs="Arial"/>
                <w:b/>
                <w:szCs w:val="22"/>
              </w:rPr>
              <w:t xml:space="preserve">HR &amp; Organisational Development </w:t>
            </w:r>
          </w:p>
          <w:p w14:paraId="1E11BCFE" w14:textId="77777777" w:rsidR="00C562C8" w:rsidRDefault="00C562C8">
            <w:pPr>
              <w:ind w:left="360"/>
              <w:rPr>
                <w:rFonts w:cs="Arial"/>
                <w:b/>
                <w:szCs w:val="22"/>
              </w:rPr>
            </w:pPr>
          </w:p>
          <w:p w14:paraId="1E11BCFF" w14:textId="77777777" w:rsidR="00C562C8" w:rsidRDefault="00C562C8" w:rsidP="003A712E">
            <w:pPr>
              <w:numPr>
                <w:ilvl w:val="0"/>
                <w:numId w:val="2"/>
              </w:numPr>
              <w:ind w:left="360"/>
              <w:rPr>
                <w:rFonts w:cs="Arial"/>
                <w:b/>
                <w:szCs w:val="22"/>
              </w:rPr>
            </w:pPr>
            <w:r>
              <w:rPr>
                <w:rFonts w:cs="Arial"/>
                <w:b/>
                <w:szCs w:val="22"/>
              </w:rPr>
              <w:t>ICT / Technology</w:t>
            </w:r>
          </w:p>
          <w:p w14:paraId="1E11BD00" w14:textId="77777777" w:rsidR="00C562C8" w:rsidRDefault="00C562C8">
            <w:pPr>
              <w:ind w:left="360"/>
              <w:rPr>
                <w:rFonts w:cs="Arial"/>
                <w:b/>
                <w:szCs w:val="22"/>
              </w:rPr>
            </w:pPr>
          </w:p>
          <w:p w14:paraId="1E11BD01" w14:textId="77777777" w:rsidR="00C562C8" w:rsidRDefault="00C562C8">
            <w:pPr>
              <w:rPr>
                <w:rFonts w:cs="Arial"/>
                <w:b/>
                <w:szCs w:val="22"/>
              </w:rPr>
            </w:pPr>
          </w:p>
          <w:p w14:paraId="1E11BD02" w14:textId="77777777" w:rsidR="00C562C8" w:rsidRDefault="00C562C8" w:rsidP="003A712E">
            <w:pPr>
              <w:numPr>
                <w:ilvl w:val="0"/>
                <w:numId w:val="2"/>
              </w:numPr>
              <w:ind w:left="360"/>
              <w:rPr>
                <w:rFonts w:cs="Arial"/>
                <w:b/>
                <w:szCs w:val="22"/>
              </w:rPr>
            </w:pPr>
            <w:r>
              <w:rPr>
                <w:rFonts w:cs="Arial"/>
                <w:b/>
                <w:szCs w:val="22"/>
              </w:rPr>
              <w:t>Property &amp; Asset Management</w:t>
            </w:r>
          </w:p>
          <w:p w14:paraId="1E11BD03" w14:textId="77777777" w:rsidR="00C562C8" w:rsidRDefault="00C562C8">
            <w:pPr>
              <w:ind w:left="360"/>
              <w:rPr>
                <w:rFonts w:cs="Arial"/>
                <w:b/>
                <w:szCs w:val="22"/>
              </w:rPr>
            </w:pPr>
          </w:p>
          <w:p w14:paraId="1E11BD04" w14:textId="77777777" w:rsidR="00C562C8" w:rsidRDefault="00C562C8">
            <w:pPr>
              <w:ind w:left="360"/>
              <w:rPr>
                <w:rFonts w:cs="Arial"/>
                <w:b/>
                <w:szCs w:val="22"/>
              </w:rPr>
            </w:pPr>
          </w:p>
          <w:p w14:paraId="1E11BD05" w14:textId="77777777" w:rsidR="00C562C8" w:rsidRDefault="00C562C8">
            <w:pPr>
              <w:pStyle w:val="ListParagraph"/>
              <w:rPr>
                <w:rFonts w:cs="Arial"/>
                <w:b/>
              </w:rPr>
            </w:pPr>
          </w:p>
          <w:p w14:paraId="1E11BD06" w14:textId="77777777" w:rsidR="00C562C8" w:rsidRDefault="00C562C8" w:rsidP="003A712E">
            <w:pPr>
              <w:numPr>
                <w:ilvl w:val="0"/>
                <w:numId w:val="2"/>
              </w:numPr>
              <w:ind w:left="360"/>
              <w:rPr>
                <w:rFonts w:cs="Arial"/>
                <w:b/>
                <w:szCs w:val="22"/>
              </w:rPr>
            </w:pPr>
            <w:r>
              <w:rPr>
                <w:rFonts w:cs="Arial"/>
                <w:b/>
                <w:szCs w:val="22"/>
              </w:rPr>
              <w:t xml:space="preserve">Risk </w:t>
            </w:r>
          </w:p>
          <w:p w14:paraId="1E11BD07" w14:textId="77777777" w:rsidR="00C562C8" w:rsidRDefault="00C562C8">
            <w:pPr>
              <w:pStyle w:val="ListParagraph"/>
              <w:spacing w:line="240" w:lineRule="auto"/>
              <w:rPr>
                <w:rFonts w:ascii="Arial" w:hAnsi="Arial" w:cs="Arial"/>
                <w:b/>
              </w:rPr>
            </w:pPr>
          </w:p>
          <w:p w14:paraId="1E11BD08" w14:textId="77777777" w:rsidR="00C562C8" w:rsidRDefault="00C562C8">
            <w:pPr>
              <w:ind w:left="360"/>
              <w:rPr>
                <w:rFonts w:cs="Arial"/>
                <w:b/>
                <w:szCs w:val="22"/>
              </w:rPr>
            </w:pPr>
          </w:p>
          <w:p w14:paraId="1E11BD09" w14:textId="77777777" w:rsidR="00C562C8" w:rsidRDefault="00C562C8">
            <w:pPr>
              <w:rPr>
                <w:rFonts w:cs="Arial"/>
                <w:b/>
                <w:szCs w:val="22"/>
              </w:rPr>
            </w:pPr>
          </w:p>
          <w:p w14:paraId="1E11BD0A" w14:textId="77777777" w:rsidR="00C562C8" w:rsidRDefault="00C562C8">
            <w:pPr>
              <w:rPr>
                <w:rFonts w:cs="Arial"/>
                <w:b/>
                <w:szCs w:val="22"/>
              </w:rPr>
            </w:pPr>
          </w:p>
          <w:p w14:paraId="1E11BD0B" w14:textId="77777777" w:rsidR="00C562C8" w:rsidRDefault="00C562C8" w:rsidP="003A712E">
            <w:pPr>
              <w:numPr>
                <w:ilvl w:val="0"/>
                <w:numId w:val="2"/>
              </w:numPr>
              <w:ind w:left="360"/>
              <w:rPr>
                <w:rFonts w:cs="Arial"/>
                <w:b/>
                <w:szCs w:val="22"/>
              </w:rPr>
            </w:pPr>
            <w:r>
              <w:rPr>
                <w:rFonts w:cs="Arial"/>
                <w:b/>
                <w:szCs w:val="22"/>
              </w:rPr>
              <w:t xml:space="preserve">Equality &amp; Diversity </w:t>
            </w:r>
          </w:p>
          <w:p w14:paraId="1E11BD0C" w14:textId="77777777" w:rsidR="00C562C8" w:rsidRDefault="00C562C8">
            <w:pPr>
              <w:rPr>
                <w:rFonts w:cs="Arial"/>
                <w:b/>
                <w:szCs w:val="22"/>
              </w:rPr>
            </w:pPr>
          </w:p>
          <w:p w14:paraId="1E11BD0D" w14:textId="77777777" w:rsidR="00C562C8" w:rsidRDefault="00C562C8">
            <w:pPr>
              <w:rPr>
                <w:rFonts w:cs="Arial"/>
                <w:szCs w:val="22"/>
              </w:rPr>
            </w:pPr>
          </w:p>
        </w:tc>
        <w:tc>
          <w:tcPr>
            <w:tcW w:w="6379" w:type="dxa"/>
            <w:tcBorders>
              <w:top w:val="single" w:sz="4" w:space="0" w:color="auto"/>
              <w:left w:val="single" w:sz="4" w:space="0" w:color="auto"/>
              <w:bottom w:val="single" w:sz="4" w:space="0" w:color="auto"/>
              <w:right w:val="single" w:sz="4" w:space="0" w:color="auto"/>
            </w:tcBorders>
          </w:tcPr>
          <w:p w14:paraId="1E11BD0E" w14:textId="77777777" w:rsidR="00C562C8" w:rsidRDefault="00C562C8">
            <w:pPr>
              <w:rPr>
                <w:rFonts w:cs="Arial"/>
                <w:szCs w:val="22"/>
              </w:rPr>
            </w:pPr>
          </w:p>
          <w:p w14:paraId="1E11BD0F" w14:textId="77777777" w:rsidR="00C562C8" w:rsidRDefault="00C562C8">
            <w:pPr>
              <w:rPr>
                <w:rFonts w:cs="Arial"/>
                <w:szCs w:val="22"/>
              </w:rPr>
            </w:pPr>
            <w:r>
              <w:rPr>
                <w:rFonts w:cs="Arial"/>
                <w:szCs w:val="22"/>
              </w:rPr>
              <w:t>None</w:t>
            </w:r>
          </w:p>
          <w:p w14:paraId="1E11BD10" w14:textId="77777777" w:rsidR="00C562C8" w:rsidRDefault="00C562C8">
            <w:pPr>
              <w:rPr>
                <w:rFonts w:cs="Arial"/>
                <w:szCs w:val="22"/>
              </w:rPr>
            </w:pPr>
          </w:p>
          <w:p w14:paraId="1E11BD11" w14:textId="77777777" w:rsidR="00C562C8" w:rsidRDefault="00C562C8">
            <w:pPr>
              <w:rPr>
                <w:rFonts w:cs="Arial"/>
                <w:szCs w:val="22"/>
              </w:rPr>
            </w:pPr>
          </w:p>
          <w:p w14:paraId="1E11BD12" w14:textId="77777777" w:rsidR="00C562C8" w:rsidRDefault="00C562C8">
            <w:pPr>
              <w:rPr>
                <w:rFonts w:cs="Arial"/>
                <w:szCs w:val="22"/>
              </w:rPr>
            </w:pPr>
            <w:r>
              <w:rPr>
                <w:rFonts w:cs="Arial"/>
                <w:szCs w:val="22"/>
              </w:rPr>
              <w:t>None</w:t>
            </w:r>
          </w:p>
          <w:p w14:paraId="1E11BD13" w14:textId="77777777" w:rsidR="00C562C8" w:rsidRDefault="00C562C8">
            <w:pPr>
              <w:rPr>
                <w:rFonts w:cs="Arial"/>
                <w:szCs w:val="22"/>
              </w:rPr>
            </w:pPr>
          </w:p>
          <w:p w14:paraId="1E11BD14" w14:textId="77777777" w:rsidR="00C562C8" w:rsidRDefault="00C562C8">
            <w:pPr>
              <w:rPr>
                <w:rFonts w:cs="Arial"/>
                <w:szCs w:val="22"/>
              </w:rPr>
            </w:pPr>
          </w:p>
          <w:p w14:paraId="1E11BD15" w14:textId="77777777" w:rsidR="00C562C8" w:rsidRDefault="00C562C8">
            <w:pPr>
              <w:rPr>
                <w:rFonts w:cs="Arial"/>
                <w:szCs w:val="22"/>
              </w:rPr>
            </w:pPr>
            <w:r>
              <w:rPr>
                <w:rFonts w:cs="Arial"/>
                <w:szCs w:val="22"/>
              </w:rPr>
              <w:t>None</w:t>
            </w:r>
          </w:p>
          <w:p w14:paraId="1E11BD16" w14:textId="77777777" w:rsidR="00C562C8" w:rsidRDefault="00C562C8">
            <w:pPr>
              <w:rPr>
                <w:rFonts w:cs="Arial"/>
                <w:szCs w:val="22"/>
              </w:rPr>
            </w:pPr>
          </w:p>
          <w:p w14:paraId="1E11BD17" w14:textId="77777777" w:rsidR="00C562C8" w:rsidRDefault="00C562C8">
            <w:pPr>
              <w:rPr>
                <w:rFonts w:cs="Arial"/>
                <w:szCs w:val="22"/>
              </w:rPr>
            </w:pPr>
          </w:p>
          <w:p w14:paraId="1E11BD18" w14:textId="77777777" w:rsidR="00C562C8" w:rsidRDefault="00C562C8">
            <w:pPr>
              <w:rPr>
                <w:rFonts w:cs="Arial"/>
                <w:szCs w:val="22"/>
              </w:rPr>
            </w:pPr>
          </w:p>
          <w:p w14:paraId="1E11BD19" w14:textId="77777777" w:rsidR="00C562C8" w:rsidRDefault="00C562C8">
            <w:pPr>
              <w:rPr>
                <w:rFonts w:cs="Arial"/>
                <w:szCs w:val="22"/>
              </w:rPr>
            </w:pPr>
          </w:p>
          <w:p w14:paraId="1E11BD1A" w14:textId="77777777" w:rsidR="00C562C8" w:rsidRDefault="00C562C8">
            <w:pPr>
              <w:rPr>
                <w:rFonts w:cs="Arial"/>
                <w:szCs w:val="22"/>
              </w:rPr>
            </w:pPr>
            <w:r>
              <w:rPr>
                <w:rFonts w:cs="Arial"/>
                <w:szCs w:val="22"/>
              </w:rPr>
              <w:lastRenderedPageBreak/>
              <w:t>We must continue to improve further the quality of the service. A failure to continue to achieve high standards in our Licensing service could result in reputational damage.</w:t>
            </w:r>
          </w:p>
          <w:p w14:paraId="1E11BD1B" w14:textId="77777777" w:rsidR="00C562C8" w:rsidRDefault="00C562C8">
            <w:pPr>
              <w:rPr>
                <w:rFonts w:cs="Arial"/>
                <w:szCs w:val="22"/>
              </w:rPr>
            </w:pPr>
            <w:r>
              <w:rPr>
                <w:rFonts w:cs="Arial"/>
                <w:szCs w:val="22"/>
              </w:rPr>
              <w:t xml:space="preserve"> </w:t>
            </w:r>
          </w:p>
          <w:p w14:paraId="1E11BD1C" w14:textId="77777777" w:rsidR="00C562C8" w:rsidRDefault="00C562C8">
            <w:pPr>
              <w:rPr>
                <w:rFonts w:cs="Arial"/>
                <w:szCs w:val="22"/>
              </w:rPr>
            </w:pPr>
          </w:p>
          <w:p w14:paraId="1E11BD1D" w14:textId="77777777" w:rsidR="00C562C8" w:rsidRDefault="00C562C8">
            <w:pPr>
              <w:rPr>
                <w:rFonts w:cs="Arial"/>
                <w:i/>
                <w:color w:val="2E74B5" w:themeColor="accent1" w:themeShade="BF"/>
                <w:szCs w:val="22"/>
              </w:rPr>
            </w:pPr>
            <w:r>
              <w:rPr>
                <w:rFonts w:cs="Arial"/>
                <w:szCs w:val="22"/>
              </w:rPr>
              <w:t>None</w:t>
            </w:r>
          </w:p>
        </w:tc>
      </w:tr>
    </w:tbl>
    <w:p w14:paraId="1E11BD1F" w14:textId="77777777" w:rsidR="00C562C8" w:rsidRDefault="00C562C8" w:rsidP="00C562C8">
      <w:pPr>
        <w:rPr>
          <w:b/>
          <w:szCs w:val="22"/>
        </w:rPr>
      </w:pPr>
    </w:p>
    <w:p w14:paraId="1E11BD20" w14:textId="77777777" w:rsidR="00C562C8" w:rsidRDefault="00C562C8" w:rsidP="00C562C8">
      <w:pPr>
        <w:rPr>
          <w:b/>
          <w:szCs w:val="22"/>
        </w:rPr>
      </w:pPr>
    </w:p>
    <w:p w14:paraId="1E11BD21" w14:textId="77777777" w:rsidR="00C562C8" w:rsidRDefault="00C562C8" w:rsidP="00C562C8">
      <w:pPr>
        <w:rPr>
          <w:szCs w:val="22"/>
        </w:rPr>
      </w:pPr>
    </w:p>
    <w:p w14:paraId="1E11BD22" w14:textId="77777777" w:rsidR="00C562C8" w:rsidRDefault="00C562C8" w:rsidP="00C562C8">
      <w:pPr>
        <w:rPr>
          <w:i/>
          <w:color w:val="0070C0"/>
          <w:szCs w:val="22"/>
        </w:rPr>
      </w:pPr>
    </w:p>
    <w:p w14:paraId="1E11BD23" w14:textId="77777777" w:rsidR="009C2401" w:rsidRDefault="009C2401" w:rsidP="00C562C8">
      <w:pPr>
        <w:rPr>
          <w:b/>
        </w:rPr>
      </w:pPr>
    </w:p>
    <w:p w14:paraId="1E11BD24" w14:textId="77777777" w:rsidR="00C562C8" w:rsidRDefault="00C562C8" w:rsidP="00C562C8">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1532"/>
        <w:gridCol w:w="2197"/>
      </w:tblGrid>
      <w:tr w:rsidR="00C562C8" w14:paraId="1E11BD28" w14:textId="77777777" w:rsidTr="00C562C8">
        <w:tc>
          <w:tcPr>
            <w:tcW w:w="5614" w:type="dxa"/>
            <w:tcBorders>
              <w:top w:val="single" w:sz="4" w:space="0" w:color="auto"/>
              <w:left w:val="single" w:sz="4" w:space="0" w:color="auto"/>
              <w:bottom w:val="single" w:sz="4" w:space="0" w:color="auto"/>
              <w:right w:val="single" w:sz="4" w:space="0" w:color="auto"/>
            </w:tcBorders>
            <w:hideMark/>
          </w:tcPr>
          <w:p w14:paraId="1E11BD25" w14:textId="77777777" w:rsidR="00C562C8" w:rsidRDefault="00C562C8">
            <w:pPr>
              <w:rPr>
                <w:rFonts w:cs="Arial"/>
              </w:rPr>
            </w:pPr>
            <w:r>
              <w:rPr>
                <w:rFonts w:cs="Arial"/>
              </w:rPr>
              <w:t>Report Author:</w:t>
            </w:r>
          </w:p>
        </w:tc>
        <w:tc>
          <w:tcPr>
            <w:tcW w:w="1555" w:type="dxa"/>
            <w:tcBorders>
              <w:top w:val="single" w:sz="4" w:space="0" w:color="auto"/>
              <w:left w:val="single" w:sz="4" w:space="0" w:color="auto"/>
              <w:bottom w:val="single" w:sz="4" w:space="0" w:color="auto"/>
              <w:right w:val="single" w:sz="4" w:space="0" w:color="auto"/>
            </w:tcBorders>
            <w:hideMark/>
          </w:tcPr>
          <w:p w14:paraId="1E11BD26" w14:textId="77777777" w:rsidR="00C562C8" w:rsidRDefault="00C562C8">
            <w:pPr>
              <w:rPr>
                <w:rFonts w:cs="Arial"/>
              </w:rPr>
            </w:pPr>
            <w:r>
              <w:rPr>
                <w:rFonts w:cs="Arial"/>
              </w:rPr>
              <w:t>Telephone:</w:t>
            </w:r>
          </w:p>
        </w:tc>
        <w:tc>
          <w:tcPr>
            <w:tcW w:w="2351" w:type="dxa"/>
            <w:tcBorders>
              <w:top w:val="single" w:sz="4" w:space="0" w:color="auto"/>
              <w:left w:val="single" w:sz="4" w:space="0" w:color="auto"/>
              <w:bottom w:val="single" w:sz="4" w:space="0" w:color="auto"/>
              <w:right w:val="single" w:sz="4" w:space="0" w:color="auto"/>
            </w:tcBorders>
            <w:hideMark/>
          </w:tcPr>
          <w:p w14:paraId="1E11BD27" w14:textId="77777777" w:rsidR="00C562C8" w:rsidRDefault="00C562C8">
            <w:pPr>
              <w:rPr>
                <w:rFonts w:cs="Arial"/>
              </w:rPr>
            </w:pPr>
            <w:r>
              <w:rPr>
                <w:rFonts w:cs="Arial"/>
              </w:rPr>
              <w:t>Date:</w:t>
            </w:r>
          </w:p>
        </w:tc>
      </w:tr>
      <w:tr w:rsidR="00C562C8" w14:paraId="1E11BD31" w14:textId="77777777" w:rsidTr="00C562C8">
        <w:tc>
          <w:tcPr>
            <w:tcW w:w="5614" w:type="dxa"/>
            <w:tcBorders>
              <w:top w:val="single" w:sz="4" w:space="0" w:color="auto"/>
              <w:left w:val="single" w:sz="4" w:space="0" w:color="auto"/>
              <w:bottom w:val="single" w:sz="4" w:space="0" w:color="auto"/>
              <w:right w:val="single" w:sz="4" w:space="0" w:color="auto"/>
            </w:tcBorders>
          </w:tcPr>
          <w:p w14:paraId="1E11BD29" w14:textId="77777777" w:rsidR="00C562C8" w:rsidRDefault="00C562C8">
            <w:pPr>
              <w:rPr>
                <w:rFonts w:cs="Arial"/>
                <w:i/>
                <w:color w:val="2E74B5" w:themeColor="accent1" w:themeShade="BF"/>
              </w:rPr>
            </w:pPr>
          </w:p>
          <w:p w14:paraId="1E11BD2A" w14:textId="77777777" w:rsidR="00C562C8" w:rsidRDefault="00C562C8">
            <w:pPr>
              <w:rPr>
                <w:rFonts w:cs="Arial"/>
              </w:rPr>
            </w:pPr>
            <w:r>
              <w:rPr>
                <w:rFonts w:cs="Arial"/>
              </w:rPr>
              <w:t>Mark Marshall</w:t>
            </w:r>
          </w:p>
          <w:p w14:paraId="1E11BD2B" w14:textId="77777777" w:rsidR="00C562C8" w:rsidRDefault="00C562C8">
            <w:pPr>
              <w:ind w:left="-539" w:firstLine="539"/>
              <w:rPr>
                <w:rFonts w:cs="Arial"/>
              </w:rPr>
            </w:pPr>
          </w:p>
        </w:tc>
        <w:tc>
          <w:tcPr>
            <w:tcW w:w="1555" w:type="dxa"/>
            <w:tcBorders>
              <w:top w:val="single" w:sz="4" w:space="0" w:color="auto"/>
              <w:left w:val="single" w:sz="4" w:space="0" w:color="auto"/>
              <w:bottom w:val="single" w:sz="4" w:space="0" w:color="auto"/>
              <w:right w:val="single" w:sz="4" w:space="0" w:color="auto"/>
            </w:tcBorders>
          </w:tcPr>
          <w:p w14:paraId="1E11BD2C" w14:textId="77777777" w:rsidR="00C562C8" w:rsidRDefault="00C562C8">
            <w:pPr>
              <w:rPr>
                <w:rFonts w:cs="Arial"/>
              </w:rPr>
            </w:pPr>
          </w:p>
          <w:p w14:paraId="1E11BD2D" w14:textId="77777777" w:rsidR="00C562C8" w:rsidRDefault="00C562C8">
            <w:pPr>
              <w:rPr>
                <w:rFonts w:cs="Arial"/>
              </w:rPr>
            </w:pPr>
            <w:r>
              <w:rPr>
                <w:rFonts w:cs="Arial"/>
              </w:rPr>
              <w:t>01772 625401</w:t>
            </w:r>
          </w:p>
          <w:p w14:paraId="1E11BD2E" w14:textId="77777777" w:rsidR="00C562C8" w:rsidRDefault="00C562C8">
            <w:pPr>
              <w:rPr>
                <w:rFonts w:cs="Arial"/>
              </w:rPr>
            </w:pPr>
          </w:p>
        </w:tc>
        <w:tc>
          <w:tcPr>
            <w:tcW w:w="2351" w:type="dxa"/>
            <w:tcBorders>
              <w:top w:val="single" w:sz="4" w:space="0" w:color="auto"/>
              <w:left w:val="single" w:sz="4" w:space="0" w:color="auto"/>
              <w:bottom w:val="single" w:sz="4" w:space="0" w:color="auto"/>
              <w:right w:val="single" w:sz="4" w:space="0" w:color="auto"/>
            </w:tcBorders>
          </w:tcPr>
          <w:p w14:paraId="1E11BD2F" w14:textId="77777777" w:rsidR="00C562C8" w:rsidRDefault="00C562C8">
            <w:pPr>
              <w:rPr>
                <w:rFonts w:cs="Arial"/>
              </w:rPr>
            </w:pPr>
          </w:p>
          <w:p w14:paraId="1E11BD30" w14:textId="77777777" w:rsidR="00C562C8" w:rsidRDefault="00C562C8" w:rsidP="00D97233">
            <w:pPr>
              <w:rPr>
                <w:rFonts w:cs="Arial"/>
              </w:rPr>
            </w:pPr>
            <w:r>
              <w:rPr>
                <w:rFonts w:cs="Arial"/>
              </w:rPr>
              <w:t>28 June 2018</w:t>
            </w:r>
          </w:p>
        </w:tc>
      </w:tr>
    </w:tbl>
    <w:p w14:paraId="1E11BD32" w14:textId="77777777" w:rsidR="00C562C8" w:rsidRDefault="00C562C8" w:rsidP="00C562C8">
      <w:pPr>
        <w:tabs>
          <w:tab w:val="left" w:pos="2839"/>
        </w:tabs>
        <w:rPr>
          <w:rFonts w:cs="Arial"/>
        </w:rPr>
      </w:pPr>
    </w:p>
    <w:p w14:paraId="1E11BD33" w14:textId="77777777" w:rsidR="00D133F4" w:rsidRDefault="00D133F4"/>
    <w:sectPr w:rsidR="00D133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31453A"/>
    <w:multiLevelType w:val="multilevel"/>
    <w:tmpl w:val="5E0A3024"/>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2C8"/>
    <w:rsid w:val="000E0D46"/>
    <w:rsid w:val="00181D85"/>
    <w:rsid w:val="004A0892"/>
    <w:rsid w:val="005E0774"/>
    <w:rsid w:val="005F7BB5"/>
    <w:rsid w:val="009C2401"/>
    <w:rsid w:val="00C562C8"/>
    <w:rsid w:val="00D133F4"/>
    <w:rsid w:val="00D97233"/>
    <w:rsid w:val="00DB4D7E"/>
    <w:rsid w:val="00DE0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BC9F"/>
  <w15:chartTrackingRefBased/>
  <w15:docId w15:val="{D2E00969-797C-4AFD-A832-5F38761F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2C8"/>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562C8"/>
    <w:pPr>
      <w:widowControl w:val="0"/>
      <w:tabs>
        <w:tab w:val="left" w:pos="540"/>
      </w:tabs>
      <w:jc w:val="both"/>
    </w:pPr>
    <w:rPr>
      <w:sz w:val="24"/>
      <w:lang w:eastAsia="en-US"/>
    </w:rPr>
  </w:style>
  <w:style w:type="character" w:customStyle="1" w:styleId="BodyTextChar">
    <w:name w:val="Body Text Char"/>
    <w:basedOn w:val="DefaultParagraphFont"/>
    <w:link w:val="BodyText"/>
    <w:semiHidden/>
    <w:rsid w:val="00C562C8"/>
    <w:rPr>
      <w:rFonts w:ascii="Arial" w:eastAsia="Times New Roman" w:hAnsi="Arial" w:cs="Times New Roman"/>
      <w:sz w:val="24"/>
      <w:szCs w:val="20"/>
    </w:rPr>
  </w:style>
  <w:style w:type="paragraph" w:styleId="BodyTextIndent">
    <w:name w:val="Body Text Indent"/>
    <w:basedOn w:val="Normal"/>
    <w:link w:val="BodyTextIndentChar"/>
    <w:semiHidden/>
    <w:unhideWhenUsed/>
    <w:rsid w:val="00C562C8"/>
    <w:pPr>
      <w:widowControl w:val="0"/>
      <w:tabs>
        <w:tab w:val="left" w:pos="709"/>
      </w:tabs>
      <w:ind w:left="709" w:hanging="709"/>
    </w:pPr>
    <w:rPr>
      <w:sz w:val="24"/>
      <w:lang w:eastAsia="en-US"/>
    </w:rPr>
  </w:style>
  <w:style w:type="character" w:customStyle="1" w:styleId="BodyTextIndentChar">
    <w:name w:val="Body Text Indent Char"/>
    <w:basedOn w:val="DefaultParagraphFont"/>
    <w:link w:val="BodyTextIndent"/>
    <w:semiHidden/>
    <w:rsid w:val="00C562C8"/>
    <w:rPr>
      <w:rFonts w:ascii="Arial" w:eastAsia="Times New Roman" w:hAnsi="Arial" w:cs="Times New Roman"/>
      <w:sz w:val="24"/>
      <w:szCs w:val="20"/>
    </w:rPr>
  </w:style>
  <w:style w:type="paragraph" w:styleId="ListParagraph">
    <w:name w:val="List Paragraph"/>
    <w:basedOn w:val="Normal"/>
    <w:uiPriority w:val="34"/>
    <w:qFormat/>
    <w:rsid w:val="00C562C8"/>
    <w:pPr>
      <w:spacing w:after="160" w:line="256" w:lineRule="auto"/>
      <w:ind w:left="720"/>
      <w:contextualSpacing/>
    </w:pPr>
    <w:rPr>
      <w:rFonts w:ascii="Calibri" w:eastAsia="Calibri" w:hAnsi="Calibri"/>
      <w:szCs w:val="22"/>
      <w:lang w:eastAsia="en-US"/>
    </w:rPr>
  </w:style>
  <w:style w:type="paragraph" w:customStyle="1" w:styleId="Style3">
    <w:name w:val="Style3"/>
    <w:basedOn w:val="Normal"/>
    <w:next w:val="Normal"/>
    <w:rsid w:val="00C562C8"/>
    <w:pPr>
      <w:widowControl w:val="0"/>
      <w:tabs>
        <w:tab w:val="left" w:pos="540"/>
      </w:tabs>
      <w:jc w:val="both"/>
      <w:outlineLvl w:val="0"/>
    </w:pPr>
    <w:rPr>
      <w:bCs/>
      <w:iCs/>
      <w:spacing w:val="-6"/>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Marshall</dc:creator>
  <cp:keywords/>
  <dc:description/>
  <cp:lastModifiedBy>Scambler, Dianne</cp:lastModifiedBy>
  <cp:revision>3</cp:revision>
  <dcterms:created xsi:type="dcterms:W3CDTF">2018-07-16T10:29:00Z</dcterms:created>
  <dcterms:modified xsi:type="dcterms:W3CDTF">2018-07-16T10:31:00Z</dcterms:modified>
</cp:coreProperties>
</file>